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DC" w:rsidRPr="0001446E" w:rsidRDefault="00393532" w:rsidP="0001446E">
      <w:pPr>
        <w:spacing w:after="0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t-BR"/>
        </w:rPr>
      </w:pPr>
      <w:r w:rsidRPr="0001446E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t-BR"/>
        </w:rPr>
        <w:t>P</w:t>
      </w:r>
      <w:r w:rsidR="006279DC" w:rsidRPr="0001446E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t-BR"/>
        </w:rPr>
        <w:t xml:space="preserve">razo para liquidação e renegociação de Dívida Ativa da União </w:t>
      </w:r>
      <w:r w:rsidRPr="0001446E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t-BR"/>
        </w:rPr>
        <w:t>encerra em 31 de Agosto de 2013</w:t>
      </w:r>
      <w:bookmarkStart w:id="0" w:name="_GoBack"/>
      <w:bookmarkEnd w:id="0"/>
    </w:p>
    <w:p w:rsidR="006279DC" w:rsidRPr="006279DC" w:rsidRDefault="006279DC" w:rsidP="00393532">
      <w:pPr>
        <w:pStyle w:val="PargrafodaLista"/>
        <w:spacing w:after="0"/>
        <w:ind w:left="284" w:firstLine="0"/>
        <w:jc w:val="left"/>
        <w:outlineLvl w:val="0"/>
        <w:rPr>
          <w:rFonts w:asciiTheme="minorHAnsi" w:eastAsia="Times New Roman" w:hAnsiTheme="minorHAnsi" w:cstheme="minorHAnsi"/>
          <w:b/>
          <w:bCs/>
          <w:kern w:val="36"/>
          <w:szCs w:val="24"/>
          <w:lang w:eastAsia="pt-BR"/>
        </w:rPr>
      </w:pPr>
    </w:p>
    <w:p w:rsidR="00393532" w:rsidRDefault="006279DC" w:rsidP="00393532">
      <w:pPr>
        <w:spacing w:after="0"/>
        <w:ind w:left="0" w:firstLine="0"/>
        <w:rPr>
          <w:rFonts w:asciiTheme="minorHAnsi" w:eastAsia="Times New Roman" w:hAnsiTheme="minorHAnsi" w:cstheme="minorHAnsi"/>
          <w:szCs w:val="24"/>
          <w:lang w:eastAsia="pt-BR"/>
        </w:rPr>
      </w:pPr>
      <w:r w:rsidRPr="006279DC">
        <w:rPr>
          <w:rFonts w:asciiTheme="minorHAnsi" w:eastAsia="Times New Roman" w:hAnsiTheme="minorHAnsi" w:cstheme="minorHAnsi"/>
          <w:szCs w:val="24"/>
          <w:lang w:eastAsia="pt-BR"/>
        </w:rPr>
        <w:t>O prazo para a liquidação ou renegociação do crédito rural inscrito em dívida ativa da União</w:t>
      </w:r>
      <w:r w:rsidR="00393532">
        <w:rPr>
          <w:rFonts w:asciiTheme="minorHAnsi" w:eastAsia="Times New Roman" w:hAnsiTheme="minorHAnsi" w:cstheme="minorHAnsi"/>
          <w:szCs w:val="24"/>
          <w:lang w:eastAsia="pt-BR"/>
        </w:rPr>
        <w:t>,</w:t>
      </w:r>
      <w:r w:rsidRPr="006279DC">
        <w:rPr>
          <w:rFonts w:asciiTheme="minorHAnsi" w:eastAsia="Times New Roman" w:hAnsiTheme="minorHAnsi" w:cstheme="minorHAnsi"/>
          <w:szCs w:val="24"/>
          <w:lang w:eastAsia="pt-BR"/>
        </w:rPr>
        <w:t xml:space="preserve"> prorrogado</w:t>
      </w:r>
      <w:r w:rsidR="00393532">
        <w:rPr>
          <w:rFonts w:asciiTheme="minorHAnsi" w:eastAsia="Times New Roman" w:hAnsiTheme="minorHAnsi" w:cstheme="minorHAnsi"/>
          <w:szCs w:val="24"/>
          <w:lang w:eastAsia="pt-BR"/>
        </w:rPr>
        <w:t xml:space="preserve"> pela</w:t>
      </w:r>
      <w:r w:rsidRPr="006279DC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hyperlink r:id="rId9" w:history="1">
        <w:r w:rsidRPr="005A091B">
          <w:rPr>
            <w:rStyle w:val="Hyperlink"/>
            <w:rFonts w:asciiTheme="minorHAnsi" w:eastAsia="Times New Roman" w:hAnsiTheme="minorHAnsi" w:cstheme="minorHAnsi"/>
            <w:szCs w:val="24"/>
            <w:lang w:eastAsia="pt-BR"/>
          </w:rPr>
          <w:t>Lei 12.788, de 14 de janeiro de 2013</w:t>
        </w:r>
      </w:hyperlink>
      <w:r w:rsidRPr="006279DC">
        <w:rPr>
          <w:rFonts w:asciiTheme="minorHAnsi" w:eastAsia="Times New Roman" w:hAnsiTheme="minorHAnsi" w:cstheme="minorHAnsi"/>
          <w:szCs w:val="24"/>
          <w:lang w:eastAsia="pt-BR"/>
        </w:rPr>
        <w:t xml:space="preserve">, </w:t>
      </w:r>
      <w:r w:rsidR="00393532">
        <w:rPr>
          <w:rFonts w:asciiTheme="minorHAnsi" w:eastAsia="Times New Roman" w:hAnsiTheme="minorHAnsi" w:cstheme="minorHAnsi"/>
          <w:szCs w:val="24"/>
          <w:lang w:eastAsia="pt-BR"/>
        </w:rPr>
        <w:t xml:space="preserve">que </w:t>
      </w:r>
      <w:r w:rsidRPr="006279DC">
        <w:rPr>
          <w:rFonts w:asciiTheme="minorHAnsi" w:eastAsia="Times New Roman" w:hAnsiTheme="minorHAnsi" w:cstheme="minorHAnsi"/>
          <w:szCs w:val="24"/>
          <w:lang w:eastAsia="pt-BR"/>
        </w:rPr>
        <w:t xml:space="preserve">alterou o artigo 8º da Lei 11.775, de 17 de setembro de 2008, </w:t>
      </w:r>
      <w:r w:rsidR="00393532">
        <w:rPr>
          <w:rFonts w:asciiTheme="minorHAnsi" w:eastAsia="Times New Roman" w:hAnsiTheme="minorHAnsi" w:cstheme="minorHAnsi"/>
          <w:szCs w:val="24"/>
          <w:lang w:eastAsia="pt-BR"/>
        </w:rPr>
        <w:t>que permitiu a</w:t>
      </w:r>
      <w:r w:rsidRPr="006279DC">
        <w:rPr>
          <w:rFonts w:asciiTheme="minorHAnsi" w:eastAsia="Times New Roman" w:hAnsiTheme="minorHAnsi" w:cstheme="minorHAnsi"/>
          <w:szCs w:val="24"/>
          <w:lang w:eastAsia="pt-BR"/>
        </w:rPr>
        <w:t xml:space="preserve"> renegociação e liquidação dos débitos oriundos de operações de crédito rural</w:t>
      </w:r>
      <w:r w:rsidR="00393532">
        <w:rPr>
          <w:rFonts w:asciiTheme="minorHAnsi" w:eastAsia="Times New Roman" w:hAnsiTheme="minorHAnsi" w:cstheme="minorHAnsi"/>
          <w:szCs w:val="24"/>
          <w:lang w:eastAsia="pt-BR"/>
        </w:rPr>
        <w:t xml:space="preserve"> inscritos na Dívida Ativa da União (DAU), se encerra </w:t>
      </w:r>
      <w:r w:rsidRPr="006279DC">
        <w:rPr>
          <w:rFonts w:asciiTheme="minorHAnsi" w:eastAsia="Times New Roman" w:hAnsiTheme="minorHAnsi" w:cstheme="minorHAnsi"/>
          <w:szCs w:val="24"/>
          <w:lang w:eastAsia="pt-BR"/>
        </w:rPr>
        <w:t>em 31 de agosto de 2013. Os procedimentos de adesão continuam a ser realizados por meio do Banco do Brasil.</w:t>
      </w:r>
    </w:p>
    <w:p w:rsidR="006279DC" w:rsidRPr="006279DC" w:rsidRDefault="00393532" w:rsidP="00393532">
      <w:pPr>
        <w:spacing w:after="0"/>
        <w:ind w:left="0" w:firstLine="0"/>
        <w:rPr>
          <w:rFonts w:asciiTheme="minorHAnsi" w:eastAsia="Times New Roman" w:hAnsiTheme="minorHAnsi" w:cstheme="minorHAnsi"/>
          <w:szCs w:val="24"/>
          <w:lang w:eastAsia="pt-BR"/>
        </w:rPr>
      </w:pPr>
      <w:r w:rsidRPr="006279DC">
        <w:rPr>
          <w:rFonts w:asciiTheme="minorHAnsi" w:eastAsia="Times New Roman" w:hAnsiTheme="minorHAnsi" w:cstheme="minorHAnsi"/>
          <w:szCs w:val="24"/>
          <w:lang w:eastAsia="pt-BR"/>
        </w:rPr>
        <w:t>A consolidação dos débitos incluirá todas as dívidas originárias de operações de crédito rural existentes em nome do devedor, que tenham sido inscritas em DAU até 31 de outubro de 2010. </w:t>
      </w:r>
    </w:p>
    <w:p w:rsidR="005A091B" w:rsidRDefault="005A091B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</w:pPr>
    </w:p>
    <w:p w:rsidR="005A091B" w:rsidRDefault="005A091B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>Como proceder para negociar?</w:t>
      </w:r>
    </w:p>
    <w:p w:rsidR="005A091B" w:rsidRDefault="005A091B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</w:pPr>
    </w:p>
    <w:p w:rsidR="006279DC" w:rsidRPr="006279DC" w:rsidRDefault="006279DC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</w:pPr>
      <w:r w:rsidRPr="006279DC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O pedido </w:t>
      </w:r>
      <w:r w:rsidR="00393532" w:rsidRPr="005A091B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de negociação deve ser </w:t>
      </w:r>
      <w:r w:rsidRPr="006279DC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formulado junto à central de atendimento do Banco do Brasil pelo telefone 0800 889 7013. </w:t>
      </w:r>
    </w:p>
    <w:p w:rsidR="00393532" w:rsidRDefault="00393532" w:rsidP="00393532">
      <w:pPr>
        <w:spacing w:after="0"/>
        <w:ind w:left="0" w:firstLine="0"/>
        <w:rPr>
          <w:rFonts w:asciiTheme="minorHAnsi" w:eastAsia="Times New Roman" w:hAnsiTheme="minorHAnsi" w:cstheme="minorHAnsi"/>
          <w:szCs w:val="24"/>
          <w:lang w:eastAsia="pt-BR"/>
        </w:rPr>
      </w:pPr>
    </w:p>
    <w:p w:rsidR="00393532" w:rsidRDefault="00393532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>Abaixo estão detalhadas as formas para Liquidação ou Renegociação do saldo devedor: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 xml:space="preserve"> </w:t>
      </w:r>
    </w:p>
    <w:p w:rsidR="005A091B" w:rsidRDefault="005A091B" w:rsidP="00393532">
      <w:pPr>
        <w:spacing w:after="0"/>
        <w:ind w:left="0" w:firstLine="0"/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</w:pPr>
    </w:p>
    <w:p w:rsidR="00393532" w:rsidRDefault="00393532" w:rsidP="00393532">
      <w:pPr>
        <w:spacing w:after="0"/>
        <w:ind w:left="0" w:firstLine="0"/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 xml:space="preserve">Tabela 01 - </w:t>
      </w:r>
      <w:r w:rsidRPr="006279DC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DESCONTOS APLICÁVEIS NA LIQUIDAÇÃO</w:t>
      </w:r>
    </w:p>
    <w:tbl>
      <w:tblPr>
        <w:tblStyle w:val="SombreamentoMdio2-nfase3"/>
        <w:tblpPr w:leftFromText="45" w:rightFromText="45" w:vertAnchor="text"/>
        <w:tblW w:w="5000" w:type="pct"/>
        <w:tblLook w:val="04A0" w:firstRow="1" w:lastRow="0" w:firstColumn="1" w:lastColumn="0" w:noHBand="0" w:noVBand="1"/>
      </w:tblPr>
      <w:tblGrid>
        <w:gridCol w:w="1008"/>
        <w:gridCol w:w="3383"/>
        <w:gridCol w:w="2023"/>
        <w:gridCol w:w="2872"/>
      </w:tblGrid>
      <w:tr w:rsidR="00393532" w:rsidRPr="006279DC" w:rsidTr="0039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FAIXAS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Total dos saldos devedores na </w:t>
            </w: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br/>
              <w:t>data da liquidação (R$ mil)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Desconto (em %)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Desconto fixo, após o </w:t>
            </w: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br/>
              <w:t>desconto percentual (R$)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-</w:t>
            </w:r>
          </w:p>
        </w:tc>
      </w:tr>
      <w:tr w:rsidR="006279DC" w:rsidRPr="006279DC" w:rsidTr="0039353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10 até 50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1.200,00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50 até 100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6.200,00</w:t>
            </w:r>
          </w:p>
        </w:tc>
      </w:tr>
      <w:tr w:rsidR="006279DC" w:rsidRPr="006279DC" w:rsidTr="00393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100 até 200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13.200,00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200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19.200,00</w:t>
            </w:r>
          </w:p>
        </w:tc>
      </w:tr>
    </w:tbl>
    <w:p w:rsidR="00393532" w:rsidRDefault="00393532" w:rsidP="00393532">
      <w:pPr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</w:pPr>
    </w:p>
    <w:p w:rsidR="00393532" w:rsidRDefault="00393532" w:rsidP="00393532">
      <w:pPr>
        <w:spacing w:after="0"/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 xml:space="preserve">Tabela 02 - </w:t>
      </w:r>
      <w:r w:rsidRPr="006279DC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DESCONTOS APLICÁVEIS NA RENEGOCIAÇÃO</w:t>
      </w:r>
    </w:p>
    <w:tbl>
      <w:tblPr>
        <w:tblStyle w:val="SombreamentoMdio2-nfase3"/>
        <w:tblpPr w:leftFromText="45" w:rightFromText="45" w:vertAnchor="text"/>
        <w:tblW w:w="5011" w:type="pct"/>
        <w:tblLook w:val="04A0" w:firstRow="1" w:lastRow="0" w:firstColumn="1" w:lastColumn="0" w:noHBand="0" w:noVBand="1"/>
      </w:tblPr>
      <w:tblGrid>
        <w:gridCol w:w="1004"/>
        <w:gridCol w:w="3426"/>
        <w:gridCol w:w="2015"/>
        <w:gridCol w:w="2861"/>
      </w:tblGrid>
      <w:tr w:rsidR="006279DC" w:rsidRPr="006279DC" w:rsidTr="0039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FAIXAS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Total dos saldos devedores na </w:t>
            </w: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br/>
              <w:t>data da renegociação (R$ mil)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Desconto (em %)</w:t>
            </w:r>
          </w:p>
        </w:tc>
        <w:tc>
          <w:tcPr>
            <w:tcW w:w="0" w:type="auto"/>
            <w:vAlign w:val="center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Desconto fixo, após o </w:t>
            </w: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br/>
              <w:t>desconto percentual (R$)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-</w:t>
            </w:r>
          </w:p>
        </w:tc>
      </w:tr>
      <w:tr w:rsidR="006279DC" w:rsidRPr="006279DC" w:rsidTr="00393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10 até 50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1.200,00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50 até 100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6.200,00</w:t>
            </w:r>
          </w:p>
        </w:tc>
      </w:tr>
      <w:tr w:rsidR="006279DC" w:rsidRPr="006279DC" w:rsidTr="00393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100 até 200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13.200,00</w:t>
            </w:r>
          </w:p>
        </w:tc>
      </w:tr>
      <w:tr w:rsidR="006279DC" w:rsidRPr="006279DC" w:rsidTr="0039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Acima de 200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0" w:type="auto"/>
            <w:hideMark/>
          </w:tcPr>
          <w:p w:rsidR="006279DC" w:rsidRPr="006279DC" w:rsidRDefault="006279DC" w:rsidP="0039353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6279DC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19.200,00</w:t>
            </w:r>
          </w:p>
        </w:tc>
      </w:tr>
    </w:tbl>
    <w:p w:rsidR="006279DC" w:rsidRDefault="006279DC" w:rsidP="00393532">
      <w:pPr>
        <w:spacing w:after="0"/>
      </w:pPr>
    </w:p>
    <w:p w:rsidR="005A091B" w:rsidRDefault="005A091B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Style w:val="Forte"/>
          <w:rFonts w:ascii="Arial" w:hAnsi="Arial" w:cs="Arial"/>
          <w:color w:val="000080"/>
          <w:sz w:val="20"/>
          <w:szCs w:val="20"/>
        </w:rPr>
      </w:pPr>
    </w:p>
    <w:p w:rsidR="005A091B" w:rsidRPr="005A091B" w:rsidRDefault="00A72303" w:rsidP="005A091B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center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="005A091B" w:rsidRPr="005A091B">
          <w:rPr>
            <w:rStyle w:val="Hyperlink"/>
            <w:rFonts w:ascii="Arial" w:hAnsi="Arial" w:cs="Arial"/>
            <w:b/>
            <w:bCs/>
            <w:i/>
            <w:color w:val="000080"/>
            <w:sz w:val="20"/>
            <w:szCs w:val="20"/>
          </w:rPr>
          <w:t>LEI Nº 12.788, DE 14 DE JANEIRO DE 2013.</w:t>
        </w:r>
      </w:hyperlink>
    </w:p>
    <w:p w:rsidR="005A091B" w:rsidRDefault="005A091B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[...]</w:t>
      </w:r>
    </w:p>
    <w:p w:rsidR="006279DC" w:rsidRPr="00393532" w:rsidRDefault="006279DC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93532">
        <w:rPr>
          <w:rFonts w:ascii="Arial" w:hAnsi="Arial" w:cs="Arial"/>
          <w:i/>
          <w:color w:val="000000"/>
          <w:sz w:val="20"/>
          <w:szCs w:val="20"/>
        </w:rPr>
        <w:t>“Art. 8</w:t>
      </w:r>
      <w:r w:rsidRPr="00393532">
        <w:rPr>
          <w:rFonts w:ascii="Arial" w:hAnsi="Arial" w:cs="Arial"/>
          <w:i/>
          <w:color w:val="000000"/>
          <w:sz w:val="20"/>
          <w:szCs w:val="20"/>
          <w:u w:val="single"/>
          <w:vertAlign w:val="superscript"/>
        </w:rPr>
        <w:t>o</w:t>
      </w:r>
      <w:r w:rsidRPr="00393532">
        <w:rPr>
          <w:rFonts w:ascii="Arial" w:hAnsi="Arial" w:cs="Arial"/>
          <w:i/>
          <w:color w:val="000000"/>
          <w:sz w:val="20"/>
          <w:szCs w:val="20"/>
        </w:rPr>
        <w:t>  .......................................................................... </w:t>
      </w:r>
    </w:p>
    <w:p w:rsidR="006279DC" w:rsidRPr="00393532" w:rsidRDefault="00A72303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sz w:val="20"/>
          <w:szCs w:val="20"/>
        </w:rPr>
      </w:pPr>
      <w:hyperlink r:id="rId11" w:anchor="art8i." w:history="1">
        <w:r w:rsidR="006279DC" w:rsidRPr="00393532">
          <w:rPr>
            <w:rStyle w:val="Hyperlink"/>
            <w:rFonts w:ascii="Arial" w:hAnsi="Arial" w:cs="Arial"/>
            <w:i/>
            <w:sz w:val="20"/>
            <w:szCs w:val="20"/>
          </w:rPr>
          <w:t xml:space="preserve">I - </w:t>
        </w:r>
      </w:hyperlink>
      <w:r w:rsidR="006279DC" w:rsidRPr="00393532">
        <w:rPr>
          <w:rFonts w:ascii="Arial" w:hAnsi="Arial" w:cs="Arial"/>
          <w:i/>
          <w:color w:val="000000"/>
          <w:sz w:val="20"/>
          <w:szCs w:val="20"/>
        </w:rPr>
        <w:t>concessão de descontos, conforme quadro constante do Anexo IX desta Lei, para a liquidação da dívida até 31 de agosto de 2013, devendo incidir o desconto percentual sobre a soma dos saldos devedores por mutuário na data da renegociação, observado o disposto no § 10 deste artigo, e, em seguida, ser aplicado o respectivo desconto de valor fixo por faixa de saldo devedor; </w:t>
      </w:r>
    </w:p>
    <w:p w:rsidR="006279DC" w:rsidRPr="00393532" w:rsidRDefault="006279DC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93532">
        <w:rPr>
          <w:rFonts w:ascii="Arial" w:hAnsi="Arial" w:cs="Arial"/>
          <w:i/>
          <w:color w:val="000000"/>
          <w:sz w:val="20"/>
          <w:szCs w:val="20"/>
        </w:rPr>
        <w:t>II - permissão da renegociação do total dos saldos devedores das operações até 31 de agosto de 2013, mantendo-as na DAU, observadas as seguintes condições:</w:t>
      </w:r>
    </w:p>
    <w:p w:rsidR="006279DC" w:rsidRPr="00393532" w:rsidRDefault="006279DC" w:rsidP="00393532">
      <w:pPr>
        <w:pStyle w:val="tex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93532"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............................................................................................. </w:t>
      </w:r>
    </w:p>
    <w:p w:rsidR="006279DC" w:rsidRPr="00393532" w:rsidRDefault="00A72303" w:rsidP="00393532">
      <w:pPr>
        <w:pStyle w:val="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567"/>
        <w:jc w:val="both"/>
        <w:rPr>
          <w:rFonts w:ascii="Arial" w:hAnsi="Arial" w:cs="Arial"/>
          <w:i/>
          <w:sz w:val="20"/>
          <w:szCs w:val="20"/>
        </w:rPr>
      </w:pPr>
      <w:hyperlink r:id="rId12" w:anchor="art8§7.." w:history="1">
        <w:r w:rsidR="006279DC" w:rsidRPr="00393532">
          <w:rPr>
            <w:rStyle w:val="Hyperlink"/>
            <w:rFonts w:ascii="Arial" w:hAnsi="Arial" w:cs="Arial"/>
            <w:i/>
            <w:sz w:val="20"/>
            <w:szCs w:val="20"/>
          </w:rPr>
          <w:t>§ 7</w:t>
        </w:r>
        <w:r w:rsidR="006279DC" w:rsidRPr="00393532">
          <w:rPr>
            <w:rStyle w:val="Hyperlink"/>
            <w:rFonts w:ascii="Arial" w:hAnsi="Arial" w:cs="Arial"/>
            <w:i/>
            <w:sz w:val="20"/>
            <w:szCs w:val="20"/>
            <w:vertAlign w:val="superscript"/>
          </w:rPr>
          <w:t>o</w:t>
        </w:r>
        <w:r w:rsidR="006279DC" w:rsidRPr="00393532">
          <w:rPr>
            <w:rStyle w:val="Hyperlink"/>
            <w:rFonts w:ascii="Arial" w:hAnsi="Arial" w:cs="Arial"/>
            <w:i/>
            <w:sz w:val="20"/>
            <w:szCs w:val="20"/>
          </w:rPr>
          <w:t xml:space="preserve">  </w:t>
        </w:r>
      </w:hyperlink>
      <w:r w:rsidR="006279DC" w:rsidRPr="00393532">
        <w:rPr>
          <w:rFonts w:ascii="Arial" w:hAnsi="Arial" w:cs="Arial"/>
          <w:i/>
          <w:color w:val="000000"/>
          <w:sz w:val="20"/>
          <w:szCs w:val="20"/>
        </w:rPr>
        <w:t>As dívidas oriundas de operações de crédito rural ao amparo do Programa de Cooperação Nipo-Brasileira para o Desenvolvimento dos Cerrados - PRODECER - Fase II, inscritas ou não na Dívida Ativa da União até 31 de outubro de 2010, que forem liquidadas  ou renegociadas até 31 de agosto de 2013, farão jus a um desconto adicional de 10 (dez) pontos percentuais, a ser somado aos descontos percentuais previstos nos quadros constantes dos Anexos IX e X desta Lei.</w:t>
      </w:r>
    </w:p>
    <w:p w:rsidR="006279DC" w:rsidRPr="006279DC" w:rsidRDefault="006279DC" w:rsidP="00393532">
      <w:pPr>
        <w:spacing w:after="0"/>
        <w:ind w:left="0" w:firstLine="0"/>
        <w:jc w:val="lef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130278" w:rsidRPr="007E6081" w:rsidRDefault="00130278" w:rsidP="00393532">
      <w:pPr>
        <w:spacing w:after="0"/>
        <w:rPr>
          <w:rFonts w:asciiTheme="minorHAnsi" w:hAnsiTheme="minorHAnsi" w:cstheme="minorHAnsi"/>
          <w:szCs w:val="24"/>
        </w:rPr>
      </w:pPr>
    </w:p>
    <w:sectPr w:rsidR="00130278" w:rsidRPr="007E6081" w:rsidSect="007551CA">
      <w:pgSz w:w="11906" w:h="16838"/>
      <w:pgMar w:top="1701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03" w:rsidRDefault="00A72303" w:rsidP="006279DC">
      <w:pPr>
        <w:spacing w:after="0"/>
      </w:pPr>
      <w:r>
        <w:separator/>
      </w:r>
    </w:p>
  </w:endnote>
  <w:endnote w:type="continuationSeparator" w:id="0">
    <w:p w:rsidR="00A72303" w:rsidRDefault="00A72303" w:rsidP="00627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03" w:rsidRDefault="00A72303" w:rsidP="006279DC">
      <w:pPr>
        <w:spacing w:after="0"/>
      </w:pPr>
      <w:r>
        <w:separator/>
      </w:r>
    </w:p>
  </w:footnote>
  <w:footnote w:type="continuationSeparator" w:id="0">
    <w:p w:rsidR="00A72303" w:rsidRDefault="00A72303" w:rsidP="00627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5018"/>
    <w:multiLevelType w:val="multilevel"/>
    <w:tmpl w:val="CB7C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66E93"/>
    <w:multiLevelType w:val="hybridMultilevel"/>
    <w:tmpl w:val="FBD0F7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DC"/>
    <w:rsid w:val="0001446E"/>
    <w:rsid w:val="00130278"/>
    <w:rsid w:val="00393532"/>
    <w:rsid w:val="00541A09"/>
    <w:rsid w:val="005A091B"/>
    <w:rsid w:val="006279DC"/>
    <w:rsid w:val="00716EB7"/>
    <w:rsid w:val="007551CA"/>
    <w:rsid w:val="007E6081"/>
    <w:rsid w:val="00870E27"/>
    <w:rsid w:val="00A72303"/>
    <w:rsid w:val="00AD0536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2"/>
        <w:lang w:val="pt-BR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79DC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9D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279DC"/>
    <w:rPr>
      <w:i/>
      <w:iCs/>
    </w:rPr>
  </w:style>
  <w:style w:type="character" w:styleId="nfase">
    <w:name w:val="Emphasis"/>
    <w:basedOn w:val="Fontepargpadro"/>
    <w:uiPriority w:val="20"/>
    <w:qFormat/>
    <w:rsid w:val="006279DC"/>
    <w:rPr>
      <w:b/>
      <w:bCs/>
      <w:i w:val="0"/>
      <w:iCs w:val="0"/>
    </w:rPr>
  </w:style>
  <w:style w:type="character" w:customStyle="1" w:styleId="st1">
    <w:name w:val="st1"/>
    <w:basedOn w:val="Fontepargpadro"/>
    <w:rsid w:val="006279DC"/>
  </w:style>
  <w:style w:type="character" w:customStyle="1" w:styleId="f3">
    <w:name w:val="f3"/>
    <w:basedOn w:val="Fontepargpadro"/>
    <w:rsid w:val="006279DC"/>
    <w:rPr>
      <w:color w:val="666666"/>
    </w:rPr>
  </w:style>
  <w:style w:type="character" w:customStyle="1" w:styleId="tl">
    <w:name w:val="tl"/>
    <w:basedOn w:val="Fontepargpadro"/>
    <w:rsid w:val="006279DC"/>
  </w:style>
  <w:style w:type="paragraph" w:styleId="Textodebalo">
    <w:name w:val="Balloon Text"/>
    <w:basedOn w:val="Normal"/>
    <w:link w:val="TextodebaloChar"/>
    <w:uiPriority w:val="99"/>
    <w:semiHidden/>
    <w:unhideWhenUsed/>
    <w:rsid w:val="006279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9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79DC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79DC"/>
    <w:rPr>
      <w:b/>
      <w:bCs/>
    </w:rPr>
  </w:style>
  <w:style w:type="paragraph" w:styleId="NormalWeb">
    <w:name w:val="Normal (Web)"/>
    <w:basedOn w:val="Normal"/>
    <w:uiPriority w:val="99"/>
    <w:unhideWhenUsed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9DC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9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79D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79DC"/>
    <w:pPr>
      <w:ind w:left="720"/>
      <w:contextualSpacing/>
    </w:pPr>
  </w:style>
  <w:style w:type="paragraph" w:customStyle="1" w:styleId="texto1">
    <w:name w:val="texto1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2">
    <w:name w:val="texto2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3">
    <w:name w:val="texto3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79DC"/>
    <w:rPr>
      <w:color w:val="800080" w:themeColor="followedHyperlink"/>
      <w:u w:val="single"/>
    </w:rPr>
  </w:style>
  <w:style w:type="table" w:styleId="ListaClara-nfase3">
    <w:name w:val="Light List Accent 3"/>
    <w:basedOn w:val="Tabelanormal"/>
    <w:uiPriority w:val="61"/>
    <w:rsid w:val="00393532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mentoMdio2-nfase3">
    <w:name w:val="Medium Shading 2 Accent 3"/>
    <w:basedOn w:val="Tabelanormal"/>
    <w:uiPriority w:val="64"/>
    <w:rsid w:val="0039353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2"/>
        <w:lang w:val="pt-BR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79DC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9D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279DC"/>
    <w:rPr>
      <w:i/>
      <w:iCs/>
    </w:rPr>
  </w:style>
  <w:style w:type="character" w:styleId="nfase">
    <w:name w:val="Emphasis"/>
    <w:basedOn w:val="Fontepargpadro"/>
    <w:uiPriority w:val="20"/>
    <w:qFormat/>
    <w:rsid w:val="006279DC"/>
    <w:rPr>
      <w:b/>
      <w:bCs/>
      <w:i w:val="0"/>
      <w:iCs w:val="0"/>
    </w:rPr>
  </w:style>
  <w:style w:type="character" w:customStyle="1" w:styleId="st1">
    <w:name w:val="st1"/>
    <w:basedOn w:val="Fontepargpadro"/>
    <w:rsid w:val="006279DC"/>
  </w:style>
  <w:style w:type="character" w:customStyle="1" w:styleId="f3">
    <w:name w:val="f3"/>
    <w:basedOn w:val="Fontepargpadro"/>
    <w:rsid w:val="006279DC"/>
    <w:rPr>
      <w:color w:val="666666"/>
    </w:rPr>
  </w:style>
  <w:style w:type="character" w:customStyle="1" w:styleId="tl">
    <w:name w:val="tl"/>
    <w:basedOn w:val="Fontepargpadro"/>
    <w:rsid w:val="006279DC"/>
  </w:style>
  <w:style w:type="paragraph" w:styleId="Textodebalo">
    <w:name w:val="Balloon Text"/>
    <w:basedOn w:val="Normal"/>
    <w:link w:val="TextodebaloChar"/>
    <w:uiPriority w:val="99"/>
    <w:semiHidden/>
    <w:unhideWhenUsed/>
    <w:rsid w:val="006279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9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79DC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79DC"/>
    <w:rPr>
      <w:b/>
      <w:bCs/>
    </w:rPr>
  </w:style>
  <w:style w:type="paragraph" w:styleId="NormalWeb">
    <w:name w:val="Normal (Web)"/>
    <w:basedOn w:val="Normal"/>
    <w:uiPriority w:val="99"/>
    <w:unhideWhenUsed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9DC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9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79D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79DC"/>
    <w:pPr>
      <w:ind w:left="720"/>
      <w:contextualSpacing/>
    </w:pPr>
  </w:style>
  <w:style w:type="paragraph" w:customStyle="1" w:styleId="texto1">
    <w:name w:val="texto1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2">
    <w:name w:val="texto2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3">
    <w:name w:val="texto3"/>
    <w:basedOn w:val="Normal"/>
    <w:rsid w:val="006279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79DC"/>
    <w:rPr>
      <w:color w:val="800080" w:themeColor="followedHyperlink"/>
      <w:u w:val="single"/>
    </w:rPr>
  </w:style>
  <w:style w:type="table" w:styleId="ListaClara-nfase3">
    <w:name w:val="Light List Accent 3"/>
    <w:basedOn w:val="Tabelanormal"/>
    <w:uiPriority w:val="61"/>
    <w:rsid w:val="00393532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mentoMdio2-nfase3">
    <w:name w:val="Medium Shading 2 Accent 3"/>
    <w:basedOn w:val="Tabelanormal"/>
    <w:uiPriority w:val="64"/>
    <w:rsid w:val="0039353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4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4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34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5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59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52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1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5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62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3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9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0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58611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6179">
                                              <w:marLeft w:val="12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0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50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1809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15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8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8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2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8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8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07-2010/2008/Lei/L1177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07-2010/2008/Lei/L11775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egislacao.planalto.gov.br/legisla/legislacao.nsf/Viw_Identificacao/lei%2012.788-2013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12.788-2013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755A-5790-46D9-917C-EF731B61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Poleze</dc:creator>
  <cp:lastModifiedBy>Poleze</cp:lastModifiedBy>
  <cp:revision>5</cp:revision>
  <cp:lastPrinted>2013-08-13T11:08:00Z</cp:lastPrinted>
  <dcterms:created xsi:type="dcterms:W3CDTF">2013-08-13T02:23:00Z</dcterms:created>
  <dcterms:modified xsi:type="dcterms:W3CDTF">2013-08-13T11:08:00Z</dcterms:modified>
</cp:coreProperties>
</file>